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hint="eastAsia" w:ascii="方正小标宋简体" w:hAnsi="Times New Roman" w:eastAsia="方正小标宋简体" w:cs="Times New Roman"/>
          <w:sz w:val="36"/>
          <w:szCs w:val="36"/>
          <w:lang w:val="en-US" w:eastAsia="zh-Hans"/>
        </w:rPr>
      </w:pPr>
      <w:r>
        <w:rPr>
          <w:rFonts w:hint="eastAsia" w:ascii="方正小标宋简体" w:hAnsi="Times New Roman" w:eastAsia="方正小标宋简体" w:cs="Times New Roman"/>
          <w:sz w:val="36"/>
          <w:szCs w:val="36"/>
          <w:lang w:val="en-US" w:eastAsia="zh-Hans"/>
        </w:rPr>
        <w:t>附表</w:t>
      </w:r>
    </w:p>
    <w:p>
      <w:pPr>
        <w:spacing w:line="588" w:lineRule="exact"/>
        <w:jc w:val="center"/>
        <w:rPr>
          <w:rFonts w:hint="eastAsia" w:ascii="方正小标宋简体" w:hAnsi="Times New Roman" w:eastAsia="方正小标宋简体" w:cs="Times New Roman"/>
          <w:sz w:val="44"/>
          <w:szCs w:val="44"/>
        </w:rPr>
      </w:pPr>
    </w:p>
    <w:p>
      <w:pPr>
        <w:spacing w:line="588"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中国（天津）自由贸易试验区政策与产业创新发展局副局长岗位说明</w:t>
      </w:r>
    </w:p>
    <w:p>
      <w:pPr>
        <w:spacing w:line="588" w:lineRule="exact"/>
        <w:rPr>
          <w:rFonts w:ascii="方正小标宋简体" w:hAnsi="Times New Roman" w:eastAsia="方正小标宋简体" w:cs="Times New Roman"/>
          <w:sz w:val="44"/>
          <w:szCs w:val="44"/>
        </w:rPr>
      </w:pPr>
    </w:p>
    <w:p>
      <w:pPr>
        <w:spacing w:line="588" w:lineRule="exact"/>
        <w:ind w:firstLine="640" w:firstLineChars="200"/>
        <w:jc w:val="left"/>
        <w:rPr>
          <w:rFonts w:ascii="黑体" w:hAnsi="黑体" w:eastAsia="黑体" w:cs="Times New Roman"/>
          <w:bCs/>
          <w:sz w:val="32"/>
          <w:szCs w:val="32"/>
        </w:rPr>
      </w:pPr>
      <w:r>
        <w:rPr>
          <w:rFonts w:ascii="黑体" w:hAnsi="黑体" w:eastAsia="黑体" w:cs="Times New Roman"/>
          <w:bCs/>
          <w:sz w:val="32"/>
          <w:szCs w:val="32"/>
        </w:rPr>
        <w:t>一、副局长任职资格</w:t>
      </w:r>
    </w:p>
    <w:p>
      <w:pPr>
        <w:spacing w:line="58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选聘人员必须坚决拥护中国共产党领导，遵守中华人民共和国宪法和法律，熟悉自贸试验区改革和创新发展工作，具备与职位相匹配的任职经历和专业素养。职业道德操守、个人品行和信用记录良好。同时还要具备以下任职资格条件：</w:t>
      </w:r>
    </w:p>
    <w:p>
      <w:pPr>
        <w:spacing w:line="58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1.具有全日制大学本科以上文化程度。</w:t>
      </w:r>
    </w:p>
    <w:p>
      <w:pPr>
        <w:spacing w:line="58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2.具有较强的自贸试验区创新、财务、金融、投资、对外贸易、产业研究等业务能力和实际操作经验。</w:t>
      </w:r>
    </w:p>
    <w:p>
      <w:pPr>
        <w:spacing w:line="58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般应累计担任过下列职务5年以上：国家级新区、开发区、自贸区、高新区管委会等中层（含相当职务）及以上职务；中央企业总部内设部室或一级子公司的中层正副职（含相当职务）及以上职务，或省管国有企业及规模相当的其他大型企业总部内设部室正副职或一级子公司正副职，或规模相当企业中层正副职及以上职务；国内知名高等院校、科研机构中层正副职（含相当职务）以上；党政机关、事业单位处级正副职（含相当职务）以上职务。</w:t>
      </w:r>
    </w:p>
    <w:p>
      <w:pPr>
        <w:spacing w:line="58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3.年龄一般不超过45周岁，特别优秀的可适当放宽，具有正常履行职责的身体条件。</w:t>
      </w:r>
    </w:p>
    <w:p>
      <w:pPr>
        <w:spacing w:line="58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4.符合有关法律法规规定的其他资格要求。</w:t>
      </w:r>
    </w:p>
    <w:p>
      <w:pPr>
        <w:spacing w:line="58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5.具体岗位任职条件详见：china-tjftz.ciicjob.com</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以上时间计算截至2022年12月</w:t>
      </w:r>
      <w:r>
        <w:rPr>
          <w:rFonts w:hint="eastAsia" w:ascii="Times New Roman" w:hAnsi="Times New Roman" w:eastAsia="仿宋_GB2312" w:cs="Times New Roman"/>
          <w:sz w:val="32"/>
          <w:szCs w:val="32"/>
          <w:lang w:eastAsia="zh-Hans"/>
        </w:rPr>
        <w:t>。</w:t>
      </w:r>
    </w:p>
    <w:p>
      <w:pPr>
        <w:widowControl/>
        <w:jc w:val="left"/>
        <w:rPr>
          <w:rFonts w:ascii="Times New Roman" w:hAnsi="Times New Roman" w:eastAsia="仿宋_GB2312" w:cs="Times New Roman"/>
          <w:sz w:val="32"/>
          <w:szCs w:val="32"/>
        </w:rPr>
        <w:sectPr>
          <w:footerReference r:id="rId3" w:type="default"/>
          <w:pgSz w:w="11906" w:h="16838"/>
          <w:pgMar w:top="1985" w:right="1418" w:bottom="1361" w:left="1418" w:header="851" w:footer="992" w:gutter="0"/>
          <w:cols w:space="425" w:num="1"/>
          <w:docGrid w:type="linesAndChars" w:linePitch="312" w:charSpace="0"/>
        </w:sectPr>
      </w:pPr>
      <w:r>
        <w:rPr>
          <w:rFonts w:ascii="Times New Roman" w:hAnsi="Times New Roman" w:eastAsia="仿宋_GB2312" w:cs="Times New Roman"/>
          <w:sz w:val="32"/>
          <w:szCs w:val="32"/>
        </w:rPr>
        <w:br w:type="page"/>
      </w:r>
    </w:p>
    <w:p>
      <w:pPr>
        <w:widowControl/>
        <w:ind w:firstLine="640" w:firstLineChars="200"/>
        <w:jc w:val="left"/>
        <w:rPr>
          <w:rFonts w:ascii="黑体" w:hAnsi="黑体" w:eastAsia="黑体" w:cs="Times New Roman"/>
          <w:sz w:val="32"/>
          <w:szCs w:val="32"/>
        </w:rPr>
      </w:pPr>
      <w:r>
        <w:rPr>
          <w:rFonts w:ascii="黑体" w:hAnsi="黑体" w:eastAsia="黑体" w:cs="Times New Roman"/>
          <w:sz w:val="32"/>
          <w:szCs w:val="32"/>
        </w:rPr>
        <w:t>二、副局长</w:t>
      </w:r>
      <w:r>
        <w:rPr>
          <w:rFonts w:hint="eastAsia" w:ascii="黑体" w:hAnsi="黑体" w:eastAsia="黑体" w:cs="Times New Roman"/>
          <w:sz w:val="32"/>
          <w:szCs w:val="32"/>
        </w:rPr>
        <w:t>岗位任职要求</w:t>
      </w:r>
    </w:p>
    <w:tbl>
      <w:tblPr>
        <w:tblStyle w:val="12"/>
        <w:tblW w:w="14218"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910"/>
        <w:gridCol w:w="1005"/>
        <w:gridCol w:w="1215"/>
        <w:gridCol w:w="1605"/>
        <w:gridCol w:w="4870"/>
        <w:gridCol w:w="36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824" w:hRule="atLeast"/>
        </w:trPr>
        <w:tc>
          <w:tcPr>
            <w:tcW w:w="1910"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jc w:val="center"/>
              <w:rPr>
                <w:rFonts w:ascii="黑体" w:hAnsi="黑体" w:eastAsia="黑体" w:cs="Calibri"/>
                <w:sz w:val="34"/>
                <w:szCs w:val="34"/>
              </w:rPr>
            </w:pPr>
            <w:r>
              <w:rPr>
                <w:rFonts w:ascii="黑体" w:hAnsi="黑体" w:eastAsia="黑体" w:cs="Calibri"/>
                <w:kern w:val="0"/>
                <w:sz w:val="34"/>
                <w:szCs w:val="34"/>
                <w:lang w:bidi="ar"/>
              </w:rPr>
              <w:t>岗位名称</w:t>
            </w:r>
          </w:p>
        </w:tc>
        <w:tc>
          <w:tcPr>
            <w:tcW w:w="1005"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jc w:val="center"/>
              <w:rPr>
                <w:rFonts w:ascii="黑体" w:hAnsi="黑体" w:eastAsia="黑体" w:cs="Calibri"/>
                <w:sz w:val="34"/>
                <w:szCs w:val="34"/>
              </w:rPr>
            </w:pPr>
            <w:r>
              <w:rPr>
                <w:rFonts w:ascii="黑体" w:hAnsi="黑体" w:eastAsia="黑体" w:cs="Calibri"/>
                <w:kern w:val="0"/>
                <w:sz w:val="34"/>
                <w:szCs w:val="34"/>
                <w:lang w:bidi="ar"/>
              </w:rPr>
              <w:t>招聘人数</w:t>
            </w:r>
          </w:p>
        </w:tc>
        <w:tc>
          <w:tcPr>
            <w:tcW w:w="1215"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jc w:val="center"/>
              <w:rPr>
                <w:rFonts w:ascii="黑体" w:hAnsi="黑体" w:eastAsia="黑体" w:cs="Calibri"/>
                <w:kern w:val="0"/>
                <w:sz w:val="34"/>
                <w:szCs w:val="34"/>
                <w:lang w:bidi="ar"/>
              </w:rPr>
            </w:pPr>
            <w:r>
              <w:rPr>
                <w:rFonts w:ascii="黑体" w:hAnsi="黑体" w:eastAsia="黑体" w:cs="Calibri"/>
                <w:kern w:val="0"/>
                <w:sz w:val="34"/>
                <w:szCs w:val="34"/>
                <w:lang w:bidi="ar"/>
              </w:rPr>
              <w:t>年龄</w:t>
            </w:r>
          </w:p>
        </w:tc>
        <w:tc>
          <w:tcPr>
            <w:tcW w:w="1605"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jc w:val="center"/>
              <w:rPr>
                <w:rFonts w:ascii="黑体" w:hAnsi="黑体" w:eastAsia="黑体" w:cs="Calibri"/>
                <w:kern w:val="0"/>
                <w:sz w:val="34"/>
                <w:szCs w:val="34"/>
                <w:lang w:bidi="ar"/>
              </w:rPr>
            </w:pPr>
            <w:r>
              <w:rPr>
                <w:rFonts w:ascii="黑体" w:hAnsi="黑体" w:eastAsia="黑体" w:cs="Calibri"/>
                <w:kern w:val="0"/>
                <w:sz w:val="34"/>
                <w:szCs w:val="34"/>
                <w:lang w:bidi="ar"/>
              </w:rPr>
              <w:t>学历专业要求</w:t>
            </w:r>
          </w:p>
        </w:tc>
        <w:tc>
          <w:tcPr>
            <w:tcW w:w="4870"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jc w:val="center"/>
              <w:rPr>
                <w:rFonts w:ascii="黑体" w:hAnsi="黑体" w:eastAsia="黑体" w:cs="Calibri"/>
                <w:kern w:val="0"/>
                <w:sz w:val="34"/>
                <w:szCs w:val="34"/>
                <w:lang w:bidi="ar"/>
              </w:rPr>
            </w:pPr>
            <w:r>
              <w:rPr>
                <w:rFonts w:ascii="黑体" w:hAnsi="黑体" w:eastAsia="黑体" w:cs="Calibri"/>
                <w:kern w:val="0"/>
                <w:sz w:val="34"/>
                <w:szCs w:val="34"/>
                <w:lang w:bidi="ar"/>
              </w:rPr>
              <w:t>任职要求</w:t>
            </w:r>
          </w:p>
        </w:tc>
        <w:tc>
          <w:tcPr>
            <w:tcW w:w="3613"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jc w:val="center"/>
              <w:rPr>
                <w:rFonts w:ascii="黑体" w:hAnsi="黑体" w:eastAsia="黑体" w:cs="Calibri"/>
                <w:kern w:val="0"/>
                <w:sz w:val="34"/>
                <w:szCs w:val="34"/>
                <w:lang w:bidi="ar"/>
              </w:rPr>
            </w:pPr>
            <w:bookmarkStart w:id="0" w:name="_GoBack"/>
            <w:bookmarkEnd w:id="0"/>
            <w:r>
              <w:rPr>
                <w:rFonts w:hint="eastAsia" w:ascii="黑体" w:hAnsi="黑体" w:eastAsia="黑体" w:cs="Calibri"/>
                <w:kern w:val="0"/>
                <w:sz w:val="34"/>
                <w:szCs w:val="34"/>
                <w:lang w:eastAsia="zh-CN" w:bidi="ar"/>
              </w:rPr>
              <w:t>主</w:t>
            </w:r>
            <w:r>
              <w:rPr>
                <w:rFonts w:ascii="黑体" w:hAnsi="黑体" w:eastAsia="黑体" w:cs="Calibri"/>
                <w:kern w:val="0"/>
                <w:sz w:val="34"/>
                <w:szCs w:val="34"/>
                <w:lang w:bidi="ar"/>
              </w:rPr>
              <w:t>要岗位职责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025" w:hRule="atLeast"/>
        </w:trPr>
        <w:tc>
          <w:tcPr>
            <w:tcW w:w="1910"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sz w:val="34"/>
                <w:szCs w:val="34"/>
              </w:rPr>
            </w:pPr>
            <w:r>
              <w:rPr>
                <w:rFonts w:hint="eastAsia" w:ascii="仿宋_GB2312" w:hAnsi="Calibri" w:eastAsia="仿宋_GB2312" w:cs="Calibri"/>
                <w:kern w:val="0"/>
                <w:sz w:val="34"/>
                <w:szCs w:val="34"/>
                <w:lang w:bidi="ar"/>
              </w:rPr>
              <w:t>副局长（分管自贸金融政策创新及相关产业培育）</w:t>
            </w:r>
          </w:p>
        </w:tc>
        <w:tc>
          <w:tcPr>
            <w:tcW w:w="1005"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sz w:val="34"/>
                <w:szCs w:val="34"/>
              </w:rPr>
            </w:pPr>
            <w:r>
              <w:rPr>
                <w:rFonts w:hint="eastAsia" w:ascii="仿宋_GB2312" w:hAnsi="Calibri" w:eastAsia="仿宋_GB2312" w:cs="Calibri"/>
                <w:kern w:val="0"/>
                <w:sz w:val="34"/>
                <w:szCs w:val="34"/>
                <w:lang w:bidi="ar"/>
              </w:rPr>
              <w:t>1名</w:t>
            </w:r>
          </w:p>
        </w:tc>
        <w:tc>
          <w:tcPr>
            <w:tcW w:w="1215"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原则上不超过45周岁</w:t>
            </w:r>
          </w:p>
        </w:tc>
        <w:tc>
          <w:tcPr>
            <w:tcW w:w="1605"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全日制大学本科及以上学历、学士及以上学位；金融学、金融工程、保险学、金融科技等相关专业</w:t>
            </w:r>
          </w:p>
        </w:tc>
        <w:tc>
          <w:tcPr>
            <w:tcW w:w="4870"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1.熟悉国际经贸规则，自贸试验区建设相关政策和法律法规；</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2.熟悉国家金融改革创新政策，具有丰富的跨境金融、产业金融、贸易金融、创新金融、专项基金管理等业务经验，具有较强协调推动能力；</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3.同等条件下，具有自贸试验区金融政策及产业培育管理工作经验者优先。</w:t>
            </w:r>
          </w:p>
        </w:tc>
        <w:tc>
          <w:tcPr>
            <w:tcW w:w="3613"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1.负责研究推动自贸试验区金融开放创新政策；</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2.负责组织金融要素平台的创新赋能工作；</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3.负责自贸试验区金融产业培育工作；</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4.负责领导交办的其他工作。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769" w:hRule="atLeast"/>
        </w:trPr>
        <w:tc>
          <w:tcPr>
            <w:tcW w:w="1910"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sz w:val="34"/>
                <w:szCs w:val="34"/>
              </w:rPr>
            </w:pPr>
            <w:r>
              <w:rPr>
                <w:rFonts w:hint="eastAsia" w:ascii="仿宋_GB2312" w:hAnsi="Calibri" w:eastAsia="仿宋_GB2312" w:cs="Calibri"/>
                <w:kern w:val="0"/>
                <w:sz w:val="34"/>
                <w:szCs w:val="34"/>
                <w:lang w:bidi="ar"/>
              </w:rPr>
              <w:t>副局长（分管自贸政策研究及相关产业促进）</w:t>
            </w:r>
          </w:p>
        </w:tc>
        <w:tc>
          <w:tcPr>
            <w:tcW w:w="1005"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sz w:val="34"/>
                <w:szCs w:val="34"/>
              </w:rPr>
            </w:pPr>
            <w:r>
              <w:rPr>
                <w:rFonts w:hint="eastAsia" w:ascii="仿宋_GB2312" w:hAnsi="Calibri" w:eastAsia="仿宋_GB2312" w:cs="Calibri"/>
                <w:kern w:val="0"/>
                <w:sz w:val="34"/>
                <w:szCs w:val="34"/>
                <w:lang w:bidi="ar"/>
              </w:rPr>
              <w:t>1名</w:t>
            </w:r>
          </w:p>
        </w:tc>
        <w:tc>
          <w:tcPr>
            <w:tcW w:w="1215"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原则上不超过45周岁</w:t>
            </w:r>
          </w:p>
        </w:tc>
        <w:tc>
          <w:tcPr>
            <w:tcW w:w="1605"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全日制大学本科及以上学历、学士及以上学位；经济学、管理学、理学、工学等相关专业</w:t>
            </w:r>
          </w:p>
        </w:tc>
        <w:tc>
          <w:tcPr>
            <w:tcW w:w="4870"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1.熟悉国家经济领域改革、对外开放、产业促进等政策；</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2.熟悉国际经贸规则、自贸制度、产业发展政策等，具有丰富的对外合作交流、企业服务和产业促进经验；</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3.具有较强的政策、产业研究分析和文字综合能力，以及丰富的自贸试验区创新实务工作经验；</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4.同等条件下，具有自贸政策研究、产业投促进管理工作经验者优先。</w:t>
            </w:r>
          </w:p>
        </w:tc>
        <w:tc>
          <w:tcPr>
            <w:tcW w:w="3613" w:type="dxa"/>
            <w:tcBorders>
              <w:top w:val="outset" w:color="auto" w:sz="6" w:space="0"/>
              <w:left w:val="outset" w:color="auto" w:sz="6" w:space="0"/>
              <w:bottom w:val="outset" w:color="auto" w:sz="6" w:space="0"/>
              <w:right w:val="outset" w:color="auto" w:sz="6" w:space="0"/>
            </w:tcBorders>
            <w:shd w:val="clear" w:color="auto" w:fill="auto"/>
            <w:tcMar>
              <w:top w:w="200" w:type="dxa"/>
              <w:left w:w="200" w:type="dxa"/>
              <w:bottom w:w="200" w:type="dxa"/>
              <w:right w:w="200" w:type="dxa"/>
            </w:tcMar>
            <w:vAlign w:val="center"/>
          </w:tcPr>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1.负责自贸试验区综合性制度政策研究，围绕重大战略、重要政策发展前沿，提出创新探索建议和改革方案，推动规则、规制、管理、标准等制度型开放；</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2.负责组织自贸试验区贸易投资便利化创新研究，推动新兴产业和功能平台建设；</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3.负责新经济、新科技、新贸易等前沿新兴产业培育引入和管理服务工作；</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4.负责组织综合性改革方案及相关文稿研究起草工作；</w:t>
            </w:r>
          </w:p>
          <w:p>
            <w:pPr>
              <w:widowControl/>
              <w:spacing w:line="360" w:lineRule="exact"/>
              <w:rPr>
                <w:rFonts w:ascii="仿宋_GB2312" w:hAnsi="Calibri" w:eastAsia="仿宋_GB2312" w:cs="Calibri"/>
                <w:kern w:val="0"/>
                <w:sz w:val="34"/>
                <w:szCs w:val="34"/>
                <w:lang w:bidi="ar"/>
              </w:rPr>
            </w:pPr>
            <w:r>
              <w:rPr>
                <w:rFonts w:hint="eastAsia" w:ascii="仿宋_GB2312" w:hAnsi="Calibri" w:eastAsia="仿宋_GB2312" w:cs="Calibri"/>
                <w:kern w:val="0"/>
                <w:sz w:val="34"/>
                <w:szCs w:val="34"/>
                <w:lang w:bidi="ar"/>
              </w:rPr>
              <w:t>5.负责领导交办的其他工作。</w:t>
            </w:r>
          </w:p>
        </w:tc>
      </w:tr>
    </w:tbl>
    <w:p/>
    <w:p>
      <w:pPr>
        <w:widowControl/>
        <w:jc w:val="left"/>
        <w:rPr>
          <w:rFonts w:ascii="楷体_GB2312" w:hAnsi="Times New Roman" w:eastAsia="楷体_GB2312" w:cs="Times New Roman"/>
          <w:sz w:val="32"/>
          <w:szCs w:val="32"/>
        </w:rPr>
      </w:pPr>
    </w:p>
    <w:sectPr>
      <w:pgSz w:w="16838" w:h="11906" w:orient="landscape"/>
      <w:pgMar w:top="1418" w:right="1985" w:bottom="1418"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兰亭黑-繁">
    <w:altName w:val="苹方-简"/>
    <w:panose1 w:val="03000509000000000000"/>
    <w:charset w:val="88"/>
    <w:family w:val="auto"/>
    <w:pitch w:val="default"/>
    <w:sig w:usb0="00000000" w:usb1="00000000" w:usb2="00000000" w:usb3="00000000" w:csb0="00100000" w:csb1="00000000"/>
  </w:font>
  <w:font w:name="Chalkboard">
    <w:panose1 w:val="03050602040202020205"/>
    <w:charset w:val="00"/>
    <w:family w:val="auto"/>
    <w:pitch w:val="default"/>
    <w:sig w:usb0="80000023" w:usb1="00000000" w:usb2="00000000" w:usb3="00000000" w:csb0="20000001" w:csb1="00000000"/>
  </w:font>
  <w:font w:name="Cochin">
    <w:panose1 w:val="02000603020000020003"/>
    <w:charset w:val="00"/>
    <w:family w:val="auto"/>
    <w:pitch w:val="default"/>
    <w:sig w:usb0="800002FF" w:usb1="4000004A" w:usb2="00000000" w:usb3="00000000" w:csb0="00000007" w:csb1="00000000"/>
  </w:font>
  <w:font w:name="Zapfino">
    <w:panose1 w:val="03030300040707070C03"/>
    <w:charset w:val="00"/>
    <w:family w:val="auto"/>
    <w:pitch w:val="default"/>
    <w:sig w:usb0="80000067" w:usb1="40000041" w:usb2="00000000" w:usb3="00000000" w:csb0="20000093" w:csb1="00000000"/>
  </w:font>
  <w:font w:name="Webdings">
    <w:panose1 w:val="05030102010509060703"/>
    <w:charset w:val="00"/>
    <w:family w:val="auto"/>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Arial">
    <w:panose1 w:val="020B0604020202090204"/>
    <w:charset w:val="00"/>
    <w:family w:val="auto"/>
    <w:pitch w:val="default"/>
    <w:sig w:usb0="E0000AFF" w:usb1="00007843" w:usb2="00000001" w:usb3="00000000" w:csb0="400001BF" w:csb1="DFF70000"/>
  </w:font>
  <w:font w:name="等线">
    <w:altName w:val="汉仪中等线KW"/>
    <w:panose1 w:val="020106000300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方正仿宋_GBK"/>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汉仪楷体简"/>
    <w:panose1 w:val="02010609030001010101"/>
    <w:charset w:val="86"/>
    <w:family w:val="modern"/>
    <w:pitch w:val="default"/>
    <w:sig w:usb0="00000000" w:usb1="00000000" w:usb2="00000010" w:usb3="00000000" w:csb0="00040000" w:csb1="00000000"/>
  </w:font>
  <w:font w:name="等线 Light">
    <w:altName w:val="汉仪中等线KW"/>
    <w:panose1 w:val="020106000300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Helvetica Neue">
    <w:panose1 w:val="02000503000000020004"/>
    <w:charset w:val="00"/>
    <w:family w:val="auto"/>
    <w:pitch w:val="default"/>
    <w:sig w:usb0="E50002FF" w:usb1="500079DB" w:usb2="00000010" w:usb3="00000000" w:csb0="00000000" w:csb1="00000000"/>
  </w:font>
  <w:font w:name="DejaVu Math TeX Gyre">
    <w:altName w:val="苹方-简"/>
    <w:panose1 w:val="02000503000000000000"/>
    <w:charset w:val="00"/>
    <w:family w:val="auto"/>
    <w:pitch w:val="default"/>
    <w:sig w:usb0="00000000" w:usb1="00000000" w:usb2="02000000" w:usb3="00000000" w:csb0="60000193" w:csb1="0DD40000"/>
  </w:font>
  <w:font w:name="Calibri Light">
    <w:panose1 w:val="020F0702030404030204"/>
    <w:charset w:val="00"/>
    <w:family w:val="auto"/>
    <w:pitch w:val="default"/>
    <w:sig w:usb0="E10002FF" w:usb1="4000ACFF" w:usb2="00000009" w:usb3="00000000" w:csb0="2000019F"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7</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5FDD386"/>
    <w:rsid w:val="75FF50DD"/>
    <w:rsid w:val="BB9FC0F3"/>
    <w:rsid w:val="DFFDBD89"/>
    <w:rsid w:val="E47F71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8">
    <w:name w:val="Default Paragraph Font"/>
    <w:uiPriority w:val="1"/>
  </w:style>
  <w:style w:type="table" w:default="1" w:styleId="12">
    <w:name w:val="Normal Table"/>
    <w:uiPriority w:val="99"/>
    <w:tblPr>
      <w:tblCellMar>
        <w:top w:w="0" w:type="dxa"/>
        <w:left w:w="108" w:type="dxa"/>
        <w:bottom w:w="0" w:type="dxa"/>
        <w:right w:w="108" w:type="dxa"/>
      </w:tblCellMar>
    </w:tblPr>
  </w:style>
  <w:style w:type="paragraph" w:styleId="2">
    <w:name w:val="annotation subject"/>
    <w:basedOn w:val="3"/>
    <w:next w:val="3"/>
    <w:link w:val="19"/>
    <w:qFormat/>
    <w:uiPriority w:val="99"/>
    <w:rPr>
      <w:b/>
      <w:bCs/>
    </w:rPr>
  </w:style>
  <w:style w:type="paragraph" w:styleId="3">
    <w:name w:val="annotation text"/>
    <w:basedOn w:val="1"/>
    <w:link w:val="18"/>
    <w:qFormat/>
    <w:uiPriority w:val="99"/>
    <w:pPr>
      <w:jc w:val="left"/>
    </w:pPr>
  </w:style>
  <w:style w:type="paragraph" w:styleId="4">
    <w:name w:val="Body Text"/>
    <w:basedOn w:val="1"/>
    <w:link w:val="20"/>
    <w:qFormat/>
    <w:uiPriority w:val="0"/>
    <w:pPr>
      <w:spacing w:after="120"/>
    </w:pPr>
    <w:rPr>
      <w:rFonts w:ascii="Calibri" w:hAnsi="Calibri" w:eastAsia="宋体" w:cs="Times New Roman"/>
      <w:szCs w:val="24"/>
    </w:rPr>
  </w:style>
  <w:style w:type="paragraph" w:styleId="5">
    <w:name w:val="Balloon Text"/>
    <w:basedOn w:val="1"/>
    <w:link w:val="17"/>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rPr>
  </w:style>
  <w:style w:type="character" w:styleId="10">
    <w:name w:val="Hyperlink"/>
    <w:basedOn w:val="8"/>
    <w:uiPriority w:val="0"/>
    <w:rPr>
      <w:color w:val="0000FF"/>
      <w:u w:val="single"/>
    </w:rPr>
  </w:style>
  <w:style w:type="character" w:styleId="11">
    <w:name w:val="annotation reference"/>
    <w:basedOn w:val="8"/>
    <w:qFormat/>
    <w:uiPriority w:val="99"/>
    <w:rPr>
      <w:sz w:val="21"/>
      <w:szCs w:val="21"/>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8"/>
    <w:link w:val="7"/>
    <w:qFormat/>
    <w:uiPriority w:val="99"/>
    <w:rPr>
      <w:sz w:val="18"/>
      <w:szCs w:val="18"/>
    </w:rPr>
  </w:style>
  <w:style w:type="character" w:customStyle="1" w:styleId="15">
    <w:name w:val="页脚 字符"/>
    <w:basedOn w:val="8"/>
    <w:link w:val="6"/>
    <w:qFormat/>
    <w:uiPriority w:val="99"/>
    <w:rPr>
      <w:sz w:val="18"/>
      <w:szCs w:val="18"/>
    </w:rPr>
  </w:style>
  <w:style w:type="paragraph" w:customStyle="1" w:styleId="16">
    <w:name w:val="Revision"/>
    <w:qFormat/>
    <w:uiPriority w:val="99"/>
    <w:rPr>
      <w:rFonts w:ascii="等线" w:hAnsi="等线" w:eastAsia="等线" w:cs="宋体"/>
      <w:kern w:val="2"/>
      <w:sz w:val="21"/>
      <w:szCs w:val="22"/>
      <w:lang w:val="en-US" w:eastAsia="zh-CN" w:bidi="ar-SA"/>
    </w:rPr>
  </w:style>
  <w:style w:type="character" w:customStyle="1" w:styleId="17">
    <w:name w:val="批注框文本 字符"/>
    <w:basedOn w:val="8"/>
    <w:link w:val="5"/>
    <w:qFormat/>
    <w:uiPriority w:val="99"/>
    <w:rPr>
      <w:sz w:val="18"/>
      <w:szCs w:val="18"/>
    </w:rPr>
  </w:style>
  <w:style w:type="character" w:customStyle="1" w:styleId="18">
    <w:name w:val="批注文字 字符"/>
    <w:basedOn w:val="8"/>
    <w:link w:val="3"/>
    <w:uiPriority w:val="99"/>
  </w:style>
  <w:style w:type="character" w:customStyle="1" w:styleId="19">
    <w:name w:val="批注主题 字符"/>
    <w:basedOn w:val="18"/>
    <w:link w:val="2"/>
    <w:uiPriority w:val="99"/>
    <w:rPr>
      <w:b/>
      <w:bCs/>
    </w:rPr>
  </w:style>
  <w:style w:type="character" w:customStyle="1" w:styleId="20">
    <w:name w:val="正文文本 字符"/>
    <w:basedOn w:val="8"/>
    <w:link w:val="4"/>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7443</Words>
  <Characters>7661</Characters>
  <Paragraphs>348</Paragraphs>
  <ScaleCrop>false</ScaleCrop>
  <LinksUpToDate>false</LinksUpToDate>
  <CharactersWithSpaces>7661</CharactersWithSpaces>
  <Application>WPS Office_3.9.2.6301_F1E327BC-269C-435d-A152-05C5408002CA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2022-10-21T20:50:00Z</dcterms:created>
  <dc:creator>Windows 用户;郭悦</dc:creator>
  <cp:lastModifiedBy>Sabrina Wang</cp:lastModifiedBy>
  <cp:lastPrinted>2022-10-22T03:07:00Z</cp:lastPrinted>
  <dcterms:modified xsi:type="dcterms:W3CDTF">2022-12-13T12:03:34Z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7d5583a208164e739fe0df27944e7662</vt:lpwstr>
  </property>
  <property fmtid="{D5CDD505-2E9C-101B-9397-08002B2CF9AE}" pid="3" name="KSOProductBuildVer">
    <vt:lpwstr>2052-3.9.2.6301</vt:lpwstr>
  </property>
</Properties>
</file>